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黑体" w:cs="Times New Roman"/>
          <w:b w:val="0"/>
          <w:color w:val="auto"/>
          <w:kern w:val="2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color w:val="auto"/>
          <w:kern w:val="21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color w:val="auto"/>
          <w:kern w:val="21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color w:val="auto"/>
          <w:kern w:val="21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1"/>
          <w:sz w:val="44"/>
          <w:szCs w:val="44"/>
        </w:rPr>
        <w:t>海南省经济研究中心2023年公开招聘工作人员计划表</w:t>
      </w:r>
    </w:p>
    <w:tbl>
      <w:tblPr>
        <w:tblStyle w:val="2"/>
        <w:tblW w:w="52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727"/>
        <w:gridCol w:w="1520"/>
        <w:gridCol w:w="813"/>
        <w:gridCol w:w="1615"/>
        <w:gridCol w:w="1769"/>
        <w:gridCol w:w="1490"/>
        <w:gridCol w:w="1231"/>
        <w:gridCol w:w="2389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4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" w:leftChars="-3" w:hanging="5" w:hangingChars="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  <w:t>序号</w:t>
            </w:r>
          </w:p>
        </w:tc>
        <w:tc>
          <w:tcPr>
            <w:tcW w:w="5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  <w:t>岗位</w:t>
            </w:r>
          </w:p>
        </w:tc>
        <w:tc>
          <w:tcPr>
            <w:tcW w:w="27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  <w:t>人数</w:t>
            </w:r>
          </w:p>
        </w:tc>
        <w:tc>
          <w:tcPr>
            <w:tcW w:w="5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  <w:highlight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  <w:highlight w:val="none"/>
                <w:lang w:val="en-US" w:eastAsia="zh-CN"/>
              </w:rPr>
              <w:t>性质</w:t>
            </w:r>
          </w:p>
        </w:tc>
        <w:tc>
          <w:tcPr>
            <w:tcW w:w="34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2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5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2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  <w:t>年龄</w:t>
            </w: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  <w:t>学历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  <w:t>学位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资质及工作经验要求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</w:rPr>
              <w:t>1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  <w:t>经济与政策研究０1</w:t>
            </w:r>
          </w:p>
        </w:tc>
        <w:tc>
          <w:tcPr>
            <w:tcW w:w="2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lang w:eastAsia="zh-CN"/>
              </w:rPr>
              <w:t>专业技术岗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Hans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Hans"/>
              </w:rPr>
              <w:t>及以上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Hans" w:bidi="ar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Hans" w:bidi="ar"/>
              </w:rPr>
              <w:t>及以上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  <w:t>经济学（02）、理学（07）、工学（08）、农学（09）、管理学（12）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  <w:t>具有2年以上政府或企事业单位政策研究和决策咨询的工作经验；具备一定的政策研究和决策咨询能力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2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  <w:t>经济与政策研究０2</w:t>
            </w:r>
          </w:p>
        </w:tc>
        <w:tc>
          <w:tcPr>
            <w:tcW w:w="2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CN"/>
              </w:rPr>
              <w:t>２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lang w:eastAsia="zh-CN"/>
              </w:rPr>
              <w:t>专业技术岗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Hans"/>
              </w:rPr>
              <w:t>及以上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CN" w:bidi="ar"/>
              </w:rPr>
              <w:t>硕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Hans" w:bidi="ar"/>
              </w:rPr>
              <w:t>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lang w:val="en-US" w:eastAsia="zh-Hans" w:bidi="ar"/>
              </w:rPr>
              <w:t>及以上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  <w:t>经济学（02）、理学（07）、工学（08）、农学（09）、管理学（12）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1"/>
                <w:sz w:val="24"/>
                <w:szCs w:val="24"/>
                <w:highlight w:val="none"/>
                <w:vertAlign w:val="baseline"/>
                <w:lang w:val="en-US" w:eastAsia="zh-CN"/>
              </w:rPr>
              <w:t>具有2年以上政府或企事业单位政策研究和决策咨询的工作经验；具备较强的政策研究和决策咨询能力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bidi="ar"/>
        </w:rPr>
        <w:t>备注：上述专业设置主要依据教育部《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eastAsia="zh-CN" w:bidi="ar"/>
        </w:rPr>
        <w:t>研究生教育学科专业目录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bidi="ar"/>
        </w:rPr>
        <w:t>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eastAsia="zh-CN" w:bidi="ar"/>
        </w:rPr>
        <w:t>），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bidi="ar"/>
        </w:rPr>
        <w:t>《普通高等学校本科专业目录（2020）》，所学学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bidi="ar"/>
        </w:rPr>
        <w:t>科专业不在上述参考目录中，但与岗位所要求的学科专业类同的应聘人员，可以主动联系招聘单位确认报名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eastAsia="zh-CN" w:bidi="ar"/>
        </w:rPr>
        <w:t>资格。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4C582D"/>
    <w:rsid w:val="FEF61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2023-09-16T10:47:42Z</dcterms:created>
  <dc:creator>uos</dc:creator>
  <cp:lastModifiedBy>o saiso</cp:lastModifiedBy>
  <dcterms:modified xsi:type="dcterms:W3CDTF">2023-09-19T08:22:34Z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EBCD48989C8C48E384F0886DF086C610_13</vt:lpwstr>
  </property>
</Properties>
</file>